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8787"/>
        <w:gridCol w:w="1984"/>
        <w:gridCol w:w="198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Приложение 3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 решению Думы </w:t>
            </w:r>
            <w:r/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Артемовского городского округа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от                             №  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6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ОБЪЕМЫ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                      доходов бюджета Артемовского городского округа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                  на 2027-2028 годы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(рублей)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Код бюджет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ной               классификации 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</w:t>
            </w:r>
            <w:bookmarkStart w:id="0" w:name="_GoBack"/>
            <w:r>
              <w:rPr>
                <w:sz w:val="20"/>
                <w:szCs w:val="20"/>
              </w:rPr>
            </w:r>
            <w:bookmarkEnd w:id="0"/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Федерации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8787" w:type="dxa"/>
            <w:vAlign w:val="center"/>
            <w:vMerge w:val="restart"/>
            <w:textDirection w:val="lrTb"/>
            <w:noWrap w:val="false"/>
          </w:tcPr>
          <w:p>
            <w:pPr>
              <w:pStyle w:val="952"/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</w:r>
          </w:p>
          <w:p>
            <w:pPr>
              <w:pStyle w:val="952"/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52"/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Сумма 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pStyle w:val="952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</w:r>
            <w:r>
              <w:rPr>
                <w:rFonts w:ascii="Times New Roman" w:hAnsi="Times New Roman"/>
                <w:b/>
                <w:sz w:val="20"/>
              </w:rPr>
            </w:r>
            <w:r>
              <w:rPr>
                <w:rFonts w:ascii="Times New Roman" w:hAnsi="Times New Roman"/>
                <w:b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8787" w:type="dxa"/>
            <w:vAlign w:val="center"/>
            <w:vMerge w:val="continue"/>
            <w:textDirection w:val="lrTb"/>
            <w:noWrap w:val="false"/>
          </w:tcPr>
          <w:p>
            <w:pPr>
              <w:pStyle w:val="952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</w:r>
            <w:r>
              <w:rPr>
                <w:rFonts w:ascii="Times New Roman" w:hAnsi="Times New Roman"/>
                <w:b/>
                <w:sz w:val="20"/>
              </w:rPr>
            </w:r>
            <w:r>
              <w:rPr>
                <w:rFonts w:ascii="Times New Roman" w:hAnsi="Times New Roman"/>
                <w:b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2027 год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2028 год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</w:tr>
    </w:tbl>
    <w:tbl>
      <w:tblPr>
        <w:tblW w:w="1544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693"/>
        <w:gridCol w:w="8787"/>
        <w:gridCol w:w="1986"/>
        <w:gridCol w:w="1982"/>
      </w:tblGrid>
      <w:tr>
        <w:tblPrEx/>
        <w:trPr>
          <w:trHeight w:val="20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87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9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1 00 00000 00 0000 000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vAlign w:val="center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НАЛОГОВЫЕ И НЕНАЛОГОВЫЕ ДОХОДЫ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3 905 928 089,53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Align w:val="center"/>
            <w:textDirection w:val="lrTb"/>
            <w:noWrap w:val="false"/>
          </w:tcPr>
          <w:p>
            <w:pPr>
              <w:pStyle w:val="952"/>
              <w:spacing w:after="0" w:line="240" w:lineRule="auto"/>
              <w:tabs>
                <w:tab w:val="left" w:pos="1701" w:leader="none"/>
              </w:tabs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4 062 523 687,90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1 01 00000 00 0000 000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vAlign w:val="center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НАЛОГИ НА ПРИБЫЛЬ, ДОХОДЫ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2 544 249 000,00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Align w:val="center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2 678 077 000,00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1 01 02000 01 0000 110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vAlign w:val="center"/>
            <w:textDirection w:val="lrTb"/>
            <w:noWrap w:val="false"/>
          </w:tcPr>
          <w:p>
            <w:pPr>
              <w:pStyle w:val="952"/>
              <w:jc w:val="both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2 544 249 000,00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Align w:val="center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2 678 077 000,00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1 01 02010 01 0000 110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/>
              <w:rPr>
                <w:rFonts w:ascii="Times New Roman" w:hAnsi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сточником которых является налоговый агент,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части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уммы налога, не превышающей 650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тысяч 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ублей за налоговые периоды до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января 2025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года, а также в части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уммы налога, не превышающей 312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тысяч рубл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ей за налоговые периоды после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января 2025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исключением доходов, в отношении которых исчисление и уплата налога осуществляются в соответствии со статьями 227,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HYPERLINK https://login.consultant.ru/link/?req=doc&amp;base=LAW&amp;n=494979&amp;dst=10877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 xml:space="preserve">227.1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HYPERLINK https://login.consultant.ru/link/?req=doc&amp;base=LAW&amp;n=494979&amp;dst=101491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 xml:space="preserve">228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доходов, относящихся к налоговым базам, указанным в пунктах 6.1 и 6.2 статьи 210 Налогового кодекса Российской Федерации)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 также налог на доходы физических лиц в отношении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оходов от долевого участия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организации, полученных физическим лицом, не являющимся налоговым резидентом Российской Федерации, в виде дивидендов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1 676 265 000,00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1 764 451 000,00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1 01 02020 01 0000 110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vMerge w:val="restart"/>
            <w:textDirection w:val="lrTb"/>
            <w:noWrap w:val="false"/>
          </w:tcPr>
          <w:p>
            <w:pPr>
              <w:pStyle w:val="952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/>
              <w:rPr>
                <w:rFonts w:ascii="Times New Roman" w:hAnsi="Times New Roman"/>
                <w:sz w:val="24"/>
                <w:szCs w:val="24"/>
              </w:rPr>
              <w:outlineLvl w:val="3"/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(в части суммы налога, не превышающей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650 тысяч рублей за налоговые периоды до 1 января 2025 года, а также в части суммы налога, не превышающей 312 тысяч рублей за налоговые периоды после 1 января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2025 года)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11 066 000,00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11 648 000,00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1 01 02021 01 0000 110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хся частной практикой в соответствии со статьей 227 Налогового кодекса Российской Федерации (в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312 тысяч рублей, относящейся к части налоговой базы,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2.4 миллиона рублей и составляющей не более 5 миллионов рублей)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1 348 000,00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1 419 000,00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1 01 02022 01 0000 110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ся частной практикой в соответствии со статьей 227 Налогового кодекса Российской Федерации (в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702 тысячи рублей, относящейся к части налоговой базы,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миллионов рублей и составляющей не более 20 миллионов рублей)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3 829 000,00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4 032 000,00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1 01 02023 01 0000 110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частной практикой в соответствии со статьей 227 Налогового кодекса Российской Федерации (в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3 402 тысячи рублей, относящейся к части налоговой базы,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 миллионов рублей и составляющей не более 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 миллионов рублей)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4 878 000,00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5 138 000,00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1 01 02024 01 0000 110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9 402 тысячи рублей, относящейся к части налоговой базы,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50 миллионов рублей)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2 410 000,00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2 536 000,00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1 01 02030 01 0000 110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vMerge w:val="restart"/>
            <w:textDirection w:val="lrTb"/>
            <w:noWrap w:val="false"/>
          </w:tcPr>
          <w:p>
            <w:pPr>
              <w:pStyle w:val="952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/>
              <w:rPr>
                <w:rFonts w:ascii="Times New Roman" w:hAnsi="Times New Roman"/>
                <w:sz w:val="24"/>
                <w:szCs w:val="24"/>
              </w:rPr>
              <w:outlineLvl w:val="3"/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(в части суммы налога, не превышающей 650 тысяч рублей за налоговые периоды до 1 января 2025 года, а также в части суммы налога, не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312 тысяч рублей за налоговые периоды после 1 января 2025 года)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62 974 000,00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66 287 000,00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1 01 02040 01 0000 110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474 000,00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482 000,00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1 01 02080 01 0000 110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650 тысяч рублей, относящейся к части налоговой базы,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иллионов рублей,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налоговые периоды до 1 января 2025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(за исключением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доходов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сумм прибыли контролируемой иностранной компании, в том числе фиксированной прибыли контролируемой иностранной компании, доходов от долевого участия в организации, полученных физичес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ким лицом - налоговым резидентом Российской Федерации в виде дивидендов), а также налог на доходы физических лиц в части суммы налога, превышающей 312 тысяч рублей, относящейся к части налоговой базы,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2,4 миллиона рублей и составляющей не более 5 миллионов рублей,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налоговые периоды после 1 января 2025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(за исключением налога на доходы физических лиц,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уплачиваемого на основании налогового уведомления налогоплательщиками, для которых выполнено условие, предусмотренное абзацем восьмым пункта 6 статьи 228 Налогового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доходов физических лиц, не являющихся налоговыми резидентами Российской Федерации, указанных в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HYPERLINK https://login.consultant.ru/link/?req=doc&amp;base=LAW&amp;n=494979&amp;dst=26121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 xml:space="preserve">абзаце девятом пункта 3 статьи 224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35 786 000,00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37 665 000,00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pStyle w:val="95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1 01 02130 01 0000 110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vMerge w:val="restart"/>
            <w:textDirection w:val="lrTb"/>
            <w:noWrap w:val="false"/>
          </w:tcPr>
          <w:p>
            <w:pPr>
              <w:pStyle w:val="95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pStyle w:val="95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года)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18 126 000,00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19 080 000,00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pStyle w:val="95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1 01 02140 01 0000 110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vMerge w:val="restart"/>
            <w:textDirection w:val="lrTb"/>
            <w:noWrap w:val="false"/>
          </w:tcPr>
          <w:p>
            <w:pPr>
              <w:pStyle w:val="952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/>
              <w:rPr>
                <w:rFonts w:ascii="Times New Roman" w:hAnsi="Times New Roman"/>
                <w:sz w:val="24"/>
                <w:szCs w:val="24"/>
              </w:rPr>
              <w:outlineLvl w:val="3"/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овым резидентом Российской Федерации в виде дивидендов (в части суммы налога, превышающей 650 тысяч рублей за налоговые периоды до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 января 2025 года, а также 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312 тысяч рублей за налоговые периоды после 1 января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52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/>
              <w:rPr>
                <w:rFonts w:ascii="Times New Roman" w:hAnsi="Times New Roman"/>
                <w:sz w:val="24"/>
                <w:szCs w:val="24"/>
              </w:rPr>
              <w:outlineLvl w:val="3"/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года)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62 203 000,00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65 469 000,00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1 01 02150 01 0000 110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702 тысячи рублей, относящейся к части налоговой базы,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миллионов рублей и составляющей не более 20 миллионов рублей (за исключе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312 тысяч рублей, относящейся к сумме налогов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ых баз, указанных в пункте 6 статьи 210 Налогового кодекса Российской Федерации,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кодекса Российской Федерации), а также налога на доходы физических лиц в отношении доходов физичес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2,4 миллиона рублей)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3 469 000,00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3 653 000,00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1 01 02200 01 0000 110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относящейся к налоговой базе, указан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ной в пункте 6.1 статьи 210 Налогового кодекса Российской Федерации, не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миллионов рублей 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374 000,00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394 000,00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1 01 02210 01 0000 110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относящейся к сумме налоговых баз, указанных в пункте 6.2 статьи 210 Налогового кодекса Российской Федерации, не превышающей 5 миллионов рублей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661 034 000,00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695 810 000,00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1 01 02230 01 0000 110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650 тысяч рублей, относящейся к сумме налоговых баз, указанных в пункте 6.2 статьи 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210 Налогового кодекса Российской Федерации, превышающей 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миллионов рублей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1 03 00000 00 0000 000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НАЛОГИ НА ТОВАРЫ (РАБОТЫ, УСЛУГИ), РЕАЛИЗУЕМЫЕ НА ТЕРРИТОРИИ РОССИЙСКОЙ ФЕДЕРАЦИИ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70 509 000,00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74 880 000,00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1 03 02000 01 0000 110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Акцизы по подакцизным товарам (продукции), производимым на территории Российской Федерации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70 509 000,00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74 880 000,00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1 03 02230 01 0000 110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36 849 000,00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39 072 000,00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1 03 02231 01 0000 110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36 849 000,00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39 072 000,00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1 03 02240 01 0000 110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1 03 02241 01 0000 110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1 03 02250 01 0000 110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35 641 000,00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37 819 000,00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1 03 02251 01 0000 110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автом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бюджете в целях формирования дорожных фондов субъектов Российской Федерации)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35 641 000,00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37 819 000,00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1 03 02260 01 0000 110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-2 161 000,00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-2 201 000,00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1 03 02261 01 0000 110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-2 161 000,00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-2 201 000,00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1 05 00000 00 0000 000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НАЛОГИ НА СОВОКУПНЫЙ ДОХОД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81 536 000,00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83 536 000,00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1 05 03000 01 0000 110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Единый сельскохозяйственный налог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1 536 000,00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1 536 000,00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1 05 03010 01 0000 110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Единый сельскохозяйственный налог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1 536 000,00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1 536 000,00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1 05 04000 02 0000 110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Налог, взимаемый в связи с применением патентной системы налогообложения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82 000 000,00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1 05 04010 02 0000 110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Налог, взимаемый в связи с применением патентной системы налогообложения, зачисляемый в бюджеты городских округов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82 000 000,00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1 06 00000 00 0000 000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НАЛОГИ НА ИМУЩЕСТВО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312 360 000,00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329 469 000,00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1 06 01000 00 0000 110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105 000 000,00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110 000 000,00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1 06 01020 04 0000 110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105 000 000,00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110 000 000,00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1 06 06000 00 0000 110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налог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207 360 000,00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219 469 000,00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1 06 06030 00 0000 110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налог с организаций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126 360 000,00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136 469 000,00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1 06 06032 04 0000 110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городских округов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126 360 000,00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136 469 000,00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1 06 06040 00 0000 110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налог с физических лиц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81 000 000,00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83 000 000,00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1 06 06042 04 0000 110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границах городских округов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81 000 000,00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83 000 000,00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1 08 00000 00 0000 000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ГОСУДАРСТВЕННАЯ ПОШЛИНА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64 240 000,00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64 245 000,00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1 08 03000 01 0000 110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1 08 03010 01 0000 110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1 08 07000 01 0000 110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vMerge w:val="restart"/>
            <w:textDirection w:val="lrTb"/>
            <w:noWrap w:val="false"/>
          </w:tcPr>
          <w:p>
            <w:pPr>
              <w:pStyle w:val="952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/>
              <w:rPr>
                <w:rFonts w:ascii="Times New Roman" w:hAnsi="Times New Roman"/>
                <w:b/>
                <w:sz w:val="24"/>
                <w:szCs w:val="24"/>
              </w:rPr>
              <w:outlineLvl w:val="3"/>
              <w:suppressLineNumbers w:val="0"/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Государственная пошлина за государственную регистрацию, а также за совершение прочих юридически значимых действий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245 000,00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1 08 07150 01 0000 110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Государственная пошлина за выдачу разрешения на установку рекламных конструкций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245 000,00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1 11 00000 00 0000 000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ДОХОДЫ ОТ ИСПОЛЬЗОВАНИЯ ИМУЩЕСТВА, НАХОДЯЩЕГОСЯ В ГОСУДАРСТВЕННОЙ И МУНИЦИПАЛЬНОЙ СОБСТВЕННОСТИ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435 501 937,90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437 487 616,11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1 11 05000 00 0000 120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417 435 600,81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419 911 600,81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1 11 05010 00 0000 120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394 100 000,00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397 500 000,00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1 11 05012 04 0000 120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394 100 000,00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397 500 000,00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1 11 05020 00 0000 120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получаемы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1 872 000,00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1 872 000,00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1 11 05024 04 0000 120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1 872 000,00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1 872 000,00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1 11 05030 00 0000 120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сдачи в аренду иму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12 065 987,00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11 141 987,00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1 11 05034 04 0000 120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12 065 987,00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11 141 987,00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1 11 05070 00 0000 120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сдачи в аренду имущества, составляющего государственную (муниципальную) казну (за исключением земельных участков)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9 397 613,81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9 397 613,81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1 11 05074 04 0000 120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сдачи в аренду имущества, составляющего казну городских округов (за исключением земельных участков)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9 397 613,81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9 397 613,81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1 11 05300 00 0000 120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6 537,87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6 537,87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1 11 05310 00 0000 120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6 537,87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6 537,87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1 11 05312 04 0000 120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городс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6 537,87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6 537,87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1 11 05400 00 0000 120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1 11 05410 00 0000 120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1 11 05410 04 0000 120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1 11 09000 00 0000 120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18 017 799,22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17 527 477,43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1 11 09040 00 0000 120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12 892 608,10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12 402 286,31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1 11 09044 04 0000 120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12 892 608,10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12 402 286,31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1 11 09080 00 0000 120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5 125 191,12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5 125 191,12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1 11 09080 04 0000 120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5 125 191,12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5 125 191,12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1 12 00000 00 0000 000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ПЛАТЕЖИ ПРИ ПОЛЬЗОВАНИИ ПРИРОДНЫМИ РЕСУРСАМИ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1 12 01000 01 0000 120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негативное воздействие на окружающую среду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1 12 01010 01 0000 120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1 12 01030 01 0000 120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сбросы загрязняющих веществ в водные объекты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1 12 01040 01 0000 120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размещение отходов производства и потребления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1 12 01041 01 0000 120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размещение отходов производства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1 13 00000 00 0000 000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ДОХОДЫ ОТ ОКАЗАНИЯ ПЛАТНЫХ УСЛУГ И КОМПЕНСАЦИИ ЗАТРАТ ГОСУДАРСТВА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71 604 212,60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72 156 368,46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1 13 01000 00 0000 130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оказания платных услуг (работ)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69 828 900,00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70 323 200,00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1 13 01990 00 0000 130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69 828 900,00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70 323 200,00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1 13 01994 04 0000 130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69 828 900,00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70 323 200,00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1 13 02000 00 0000 130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компенсации затрат государства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1 775 312,60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1 833 168,46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1 13 02060 00 0000 130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1 775 312,60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1 833 168,46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1 13 02064 04 0000 130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городских округов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1 775 312,60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1 833 168,46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1 14 00000 00 0000 000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ДОХОДЫ ОТ ПРОДАЖИ МАТЕРИАЛЬНЫХ И НЕМАТЕРИАЛЬНЫХ АКТИВОВ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285 636 564,00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284 419 764,00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1 14 02000 00 0000 000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реализации имущества, находящегося в государственной 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4 236 564,00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3 019 764,00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1 14 02040 04 0000 410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реализации имущ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указанному имуществу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4 236 564,00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3 019 764,00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1 14 02043 04 0000 410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реализации иного имущества, нах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4 236 564,00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3 019 764,00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1 14 06000 00 0000 430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продажи земельных участков, находящихся в государственной и муниципальной собственности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175 400 000,00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175 400 000,00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1 14 06010 00 0000 430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разграничена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175 400 000,00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175 400 000,00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1 14 06012 04 0000 430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175 400 000,00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175 400 000,00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1 14 06300 00 0000 430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106 000 000,00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106 000 000,00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1 14 06310 00 0000 430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106 000 000,00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106 000 000,00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1 14 06312 04 0000 430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увеличение площади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106 000 000,00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106 000 000,00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1 16 00000 00 0000 000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ШТРАФЫ, САНКЦИИ, ВОЗМЕЩЕНИЕ УЩЕРБА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35 991 375,03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33 952 939,33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1 16 01000 01 0000 140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Кодексом Российской Федерации об административных правонарушениях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1 007 500,00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1 007 500,00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1 16 01050 01 0000 140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правонарушения, посягающие на права граждан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1 16 01053 01 0000 140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1 16 01060 01 0000 140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благополучие населения и общественную нравственность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1 16 01063 01 0000 140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1 16 01070 01 0000 140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1 16 01073 01 0000 140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1 16 01074 01 0000 140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1 16 01080 01 0000 140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1 16 01083 01 0000 140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8 Кодекса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1 16 01140 01 0000 140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14 Кодекса Российской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1 16 01143 01 0000 140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14 Кодекса Российско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1 16 01150 01 0000 140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84 500,00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84 500,00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1 16 01153 01 0000 140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82 000,00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82 000,00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1 16 01154 01 0000 140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2 500,00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2 500,00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1 16 01160 01 0000 140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1 16 01163 01 0000 140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1 16 01170 01 0000 140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1 16 01173 01 0000 140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1 16 01190 01 0000 140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90 000,00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90 000,00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1 16 01193 01 0000 140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19 Кодекса Российской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90 000,00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90 000,00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1 16 01200 01 0000 140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1 16 01203 01 0000 140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1 16 02000 02 0000 140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1 16 02020 02 0000 140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11 000 000,00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1 16 07000 00 0000 140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ненадлеж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23 851 428,31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21 810 500,04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1 16 07010 00 0000 140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Штрафы, неустойки, пени, уплаченные в случае просрочки исполнения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поставщиком (подрядчиком, исполнителем) обязательств, предусмотренных государственным (муниципальным) контрактом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5 564 465,52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3 523 537,25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1 16 07010 04 0000 140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5 564 465,52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3 523 537,25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1 16 07090 00 0000 140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штрафы, неустойки,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18 286 962,79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18 286 962,79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1 16 07090 04 0000 140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 муниципальным органом (муниципальным казенным учреждением) городского округа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18 286 962,79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18 286 962,79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1 16 10000 00 0000 140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Платежи в целях возмещения причиненного ущерба (убытков)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120 880,00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119 517,00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1 16 10120 00 0000 140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действовавшим в 2019 году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120 880,00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119 517,00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1 16 10123 01 0000 140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120 880,00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119 517,00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1 16 11000 01 0000 140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Платежи, уплачиваемые в целях возмещения вреда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11 566,72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15 422,29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1 16 11060 01 0000 140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Платежи, уплачиваемые в целях возмещения вреда, причиняемого автомобильным дорогам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11 566,72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15 422,29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1 16 11064 01 0000 140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11 566,72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15 422,29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1 17 00000 00 0000 000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ПРОЧИЕ НЕНАЛОГОВЫЕ ДОХОДЫ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4 300 000,00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4 300 000,00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1 17 05000 00 0000 180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4 300 000,00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4 300 000,00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1 17 05040 04 0000 180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городских округов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4 300 000,00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4 300 000,00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2 00 00000 00 0000 000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БЕЗВОЗМЕЗДНЫЕ ПОСТУПЛЕНИЯ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4 281 300 308,21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5 322 619 489,94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2 02 00000 00 0000 000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4 275 205 708,21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5 316 554 089,94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2 02 20000 00 0000 150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СУБСИДИИ БЮДЖЕТАМ БЮДЖЕТНОЙ СИСТЕМЫ РОССИЙСКОЙ ФЕДЕРАЦИИ (МЕЖБЮДЖЕТНЫЕ СУБСИДИИ)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1 261 213 264,07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2 149 364 717,65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2 02 20077 00 0000 150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софинансирование капитальных вложений в объекты муниципальной собственности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1 043 190 210,00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1 043 190 210,00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2 02 20077 04 0000 150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1 043 190 210,00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1 043 190 210,00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2 02 25049 00 0000 150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адресное строительство школ в отдельных населенных пунктах с объективно выявленной потребностью инфраструктуры (зданий) школ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958 055 520,84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2 02 25049 04 0000 150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адресное строительство школ в отдельных населенных пунктах с объективно выявленной потребностью инфраструктуры (зданий) школ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958 055 520,84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2 02 25315 00 0000 150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63 934 845,37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2 02 25315 04 0000 150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63 934 845,37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2 02 25497 00 0000 150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реализацию мероприятий по обеспечению жильем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молодых семей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30 681 021,65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30 413 303,65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2 02 25497 04 0000 150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реализацию мероприятий по обеспечению жильем молодых семей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30 681 021,65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30 413 303,65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2 02 25519 00 0000 150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поддержку отрасли культуры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1 389 219,42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1 414 523,81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2 02 25519 04 0000 150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поддержку отрасли культуры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1 389 219,42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1 414 523,81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2 02 25545 00 0000 150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Субсидии бюджетам на формирование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«Интернет»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6 082 134,50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2 02 25545 04 0000 150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Субсидии бюджетам городских округов на формирование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«Интернет»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6 082 134,50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vMerge w:val="restart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2 02 25555 00 0000 150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реализацию программ формирования современной городской среды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36 791 914,57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37 146 960,52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2 02 25555 04 0000 150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реализацию программ формирования современной городской среды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36 791 914,57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37 146 960,52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2 02 29999 00 0000 150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субсидии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79 143 918,56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79 144 198,83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2 02 29999 04 0000 150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субсидии бюджетам городских округов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79 143 918,56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79 144 198,83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2 02 30000 00 0000 150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СУБВЕНЦИИ БЮДЖЕТАМ БЮДЖЕТНОЙ СИСТЕМЫ РОССИЙСКОЙ ФЕДЕРАЦИИ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2 931 022 795,19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3 084 078 891,46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2 02 30024 00 0000 150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местным бюджетам на выполнение передаваемых полномочий субъектов Российской Федерации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2 506 165 710,67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2 661 711 393,44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2 02 30024 04 0000 150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2 506 165 710,67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2 661 711 393,44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2 02 30029 00 0000 150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37 960 069,00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39 472 616,00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2 02 30029 04 0000 150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компенсацию части платы, взимаемой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37 960 069,00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39 472 616,00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2 02 35082 00 0000 150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255 373 328,52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255 373 328,52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2 02 35082 04 0000 150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255 373 328,52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255 373 328,52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2 02 35120 00 0000 150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131 006,00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141 938,00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2 02 35120 04 0000 150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федеральных судов общей юрисдикции в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131 006,00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141 938,00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2 02 35304 00 0000 150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муниципальных образований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113 665 230,00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109 043 686,50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2 02 35304 04 0000 150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113 665 230,00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109 043 686,50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2 02 35930 00 0000 150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на государственную регистрацию актов гражданского состояния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10 044 978,00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10 346 156,00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2 02 35930 04 0000 150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государственную регистрацию актов гражданского состояния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10 044 978,00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10 346 156,00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2 02 36900 00 0000 150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Единая субвенция местным бюджетам из бюджета субъекта Российской Федерации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6 079 675,00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6 322 863,00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2 02 36900 04 0000 150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Единая субвенция бюджетам городских округов из бюджета субъекта Российской Федерации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6 079 675,00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6 322 863,00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2 02 39999 00 0000 150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субвенции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1 602 798,00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1 666 910,00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2 02 39999 04 0000 150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субвенции бюджетам городских округов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1 602 798,00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1 666 910,00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2 02 40000 00 0000 150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ИНЫЕ МЕЖБЮДЖЕТНЫЕ ТРАНСФЕРТЫ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82 969 648,95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83 110 480,83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2 02 45050 00 0000 150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2 343 600,00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2 343 600,00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2 02 45050 04 0000 150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«Сириус»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муниципальных общеобразовательных организаций и профессиональных образовательных организаций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2 343 600,00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2 343 600,00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2 02 45179 00 0000 150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общеобразовательных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11 362 048,95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11 502 880,83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2 02 45179 04 0000 150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11 362 048,95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11 502 880,83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2 02 45303 00 0000 150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на ежемесячное денежное вознаграждение за классное руководство педагогич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69 264 000,00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69 264 000,00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2 02 45303 04 0000 150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69 264 000,00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69 264 000,00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2 07 00000 00 0000 000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ПРОЧИЕ БЕЗВОЗМЕЗДНЫЕ ПОСТУПЛЕНИЯ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6 094 600,00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6 065 400,00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2 07 04000 04 0000 150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безвозмездные поступления в бюджеты городских округов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6 094 600,00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6 065 400,00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2 07 04020 04 0000 150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6 094 600,00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6 065 400,00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81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ДОХОДОВ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8 187 228 397,74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2" w:type="dxa"/>
            <w:textDirection w:val="lrTb"/>
            <w:noWrap w:val="false"/>
          </w:tcPr>
          <w:p>
            <w:pPr>
              <w:pStyle w:val="952"/>
              <w:spacing w:after="0" w:line="240" w:lineRule="auto"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9 385 143 177,84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tabs>
          <w:tab w:val="left" w:pos="2835" w:leader="none"/>
        </w:tabs>
      </w:pPr>
      <w:r/>
      <w:r/>
    </w:p>
    <w:sectPr>
      <w:headerReference w:type="default" r:id="rId8"/>
      <w:headerReference w:type="first" r:id="rId9"/>
      <w:footnotePr/>
      <w:endnotePr/>
      <w:type w:val="nextPage"/>
      <w:pgSz w:w="16838" w:h="11906" w:orient="landscape"/>
      <w:pgMar w:top="1701" w:right="822" w:bottom="709" w:left="567" w:header="709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imes New Roman">
    <w:panose1 w:val="02020603050405020304"/>
  </w:font>
  <w:font w:name="Segoe UI">
    <w:panose1 w:val="020B0502040504020204"/>
  </w:font>
  <w:font w:name="Tahoma">
    <w:panose1 w:val="020B0604030504040204"/>
  </w:font>
  <w:font w:name="Noto Sans Devanagari">
    <w:panose1 w:val="020B05020405040202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9"/>
      <w:jc w:val="center"/>
    </w:pPr>
    <w:fldSimple w:instr="PAGE \* MERGEFORMAT">
      <w:r>
        <w:rPr>
          <w:rFonts w:ascii="Liberation Serif" w:hAnsi="Liberation Serif" w:eastAsia="Liberation Serif" w:cs="Liberation Serif"/>
          <w:sz w:val="24"/>
          <w:szCs w:val="24"/>
        </w:rPr>
        <w:t xml:space="preserve">1</w:t>
      </w:r>
    </w:fldSimple>
    <w:r>
      <w:rPr>
        <w:rFonts w:ascii="Liberation Serif" w:hAnsi="Liberation Serif" w:eastAsia="Liberation Serif" w:cs="Liberation Serif"/>
        <w:sz w:val="24"/>
        <w:szCs w:val="24"/>
      </w:rPr>
    </w:r>
    <w:r>
      <w:rPr>
        <w:rFonts w:ascii="Liberation Serif" w:hAnsi="Liberation Serif" w:eastAsia="Liberation Serif" w:cs="Liberation Serif"/>
        <w:sz w:val="28"/>
        <w:szCs w:val="28"/>
      </w:rPr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9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 w:default="1">
    <w:name w:val="Normal"/>
    <w:pPr>
      <w:spacing w:after="160" w:line="256" w:lineRule="auto"/>
    </w:pPr>
    <w:rPr>
      <w:rFonts w:ascii="Calibri" w:hAnsi="Calibri" w:eastAsia="Calibri"/>
      <w:sz w:val="22"/>
      <w:szCs w:val="22"/>
      <w:lang w:eastAsia="zh-CN"/>
    </w:rPr>
  </w:style>
  <w:style w:type="paragraph" w:styleId="680">
    <w:name w:val="Heading 1"/>
    <w:basedOn w:val="679"/>
    <w:next w:val="679"/>
    <w:link w:val="71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1">
    <w:name w:val="Heading 2"/>
    <w:basedOn w:val="679"/>
    <w:next w:val="679"/>
    <w:link w:val="71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2">
    <w:name w:val="Heading 3"/>
    <w:basedOn w:val="679"/>
    <w:next w:val="679"/>
    <w:link w:val="71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3">
    <w:name w:val="Heading 4"/>
    <w:basedOn w:val="679"/>
    <w:next w:val="679"/>
    <w:link w:val="71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679"/>
    <w:next w:val="679"/>
    <w:link w:val="71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679"/>
    <w:next w:val="679"/>
    <w:link w:val="7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86">
    <w:name w:val="Heading 7"/>
    <w:basedOn w:val="679"/>
    <w:next w:val="679"/>
    <w:link w:val="71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87">
    <w:name w:val="Heading 8"/>
    <w:basedOn w:val="679"/>
    <w:next w:val="679"/>
    <w:link w:val="7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8">
    <w:name w:val="Heading 9"/>
    <w:basedOn w:val="679"/>
    <w:next w:val="679"/>
    <w:link w:val="71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 w:default="1">
    <w:name w:val="Default Paragraph Font"/>
    <w:uiPriority w:val="1"/>
    <w:semiHidden/>
    <w:unhideWhenUsed/>
  </w:style>
  <w:style w:type="table" w:styleId="6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1" w:default="1">
    <w:name w:val="No List"/>
    <w:uiPriority w:val="99"/>
    <w:semiHidden/>
    <w:unhideWhenUsed/>
  </w:style>
  <w:style w:type="character" w:styleId="692" w:customStyle="1">
    <w:name w:val="Heading 1 Char"/>
    <w:basedOn w:val="689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Heading 2 Char"/>
    <w:basedOn w:val="689"/>
    <w:uiPriority w:val="9"/>
    <w:rPr>
      <w:rFonts w:ascii="Arial" w:hAnsi="Arial" w:eastAsia="Arial" w:cs="Arial"/>
      <w:sz w:val="34"/>
    </w:rPr>
  </w:style>
  <w:style w:type="character" w:styleId="694" w:customStyle="1">
    <w:name w:val="Heading 3 Char"/>
    <w:basedOn w:val="689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Heading 4 Char"/>
    <w:basedOn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Heading 5 Char"/>
    <w:basedOn w:val="689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Heading 6 Char"/>
    <w:basedOn w:val="689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Heading 7 Char"/>
    <w:basedOn w:val="6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Heading 8 Char"/>
    <w:basedOn w:val="689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Heading 9 Char"/>
    <w:basedOn w:val="689"/>
    <w:uiPriority w:val="9"/>
    <w:rPr>
      <w:rFonts w:ascii="Arial" w:hAnsi="Arial" w:eastAsia="Arial" w:cs="Arial"/>
      <w:i/>
      <w:iCs/>
      <w:sz w:val="21"/>
      <w:szCs w:val="21"/>
    </w:rPr>
  </w:style>
  <w:style w:type="character" w:styleId="701" w:customStyle="1">
    <w:name w:val="Title Char"/>
    <w:basedOn w:val="689"/>
    <w:uiPriority w:val="10"/>
    <w:rPr>
      <w:sz w:val="48"/>
      <w:szCs w:val="48"/>
    </w:rPr>
  </w:style>
  <w:style w:type="character" w:styleId="702" w:customStyle="1">
    <w:name w:val="Subtitle Char"/>
    <w:basedOn w:val="689"/>
    <w:uiPriority w:val="11"/>
    <w:rPr>
      <w:sz w:val="24"/>
      <w:szCs w:val="24"/>
    </w:rPr>
  </w:style>
  <w:style w:type="character" w:styleId="703" w:customStyle="1">
    <w:name w:val="Quote Char"/>
    <w:uiPriority w:val="29"/>
    <w:rPr>
      <w:i/>
    </w:rPr>
  </w:style>
  <w:style w:type="character" w:styleId="704" w:customStyle="1">
    <w:name w:val="Intense Quote Char"/>
    <w:uiPriority w:val="30"/>
    <w:rPr>
      <w:i/>
    </w:rPr>
  </w:style>
  <w:style w:type="character" w:styleId="705" w:customStyle="1">
    <w:name w:val="Header Char"/>
    <w:basedOn w:val="689"/>
    <w:uiPriority w:val="99"/>
  </w:style>
  <w:style w:type="character" w:styleId="706" w:customStyle="1">
    <w:name w:val="Footer Char"/>
    <w:basedOn w:val="689"/>
    <w:uiPriority w:val="99"/>
  </w:style>
  <w:style w:type="character" w:styleId="707" w:customStyle="1">
    <w:name w:val="Caption Char"/>
    <w:basedOn w:val="689"/>
    <w:uiPriority w:val="35"/>
    <w:rPr>
      <w:b/>
      <w:bCs/>
      <w:color w:val="4f81bd" w:themeColor="accent1"/>
      <w:sz w:val="18"/>
      <w:szCs w:val="18"/>
    </w:rPr>
  </w:style>
  <w:style w:type="character" w:styleId="708" w:customStyle="1">
    <w:name w:val="Footnote Text Char"/>
    <w:uiPriority w:val="99"/>
    <w:rPr>
      <w:sz w:val="18"/>
    </w:rPr>
  </w:style>
  <w:style w:type="character" w:styleId="709" w:customStyle="1">
    <w:name w:val="Endnote Text Char"/>
    <w:uiPriority w:val="99"/>
    <w:rPr>
      <w:sz w:val="20"/>
    </w:rPr>
  </w:style>
  <w:style w:type="character" w:styleId="710" w:customStyle="1">
    <w:name w:val="Заголовок 1 Знак"/>
    <w:link w:val="680"/>
    <w:uiPriority w:val="9"/>
    <w:rPr>
      <w:rFonts w:ascii="Arial" w:hAnsi="Arial" w:eastAsia="Arial" w:cs="Arial"/>
      <w:sz w:val="40"/>
      <w:szCs w:val="40"/>
    </w:rPr>
  </w:style>
  <w:style w:type="character" w:styleId="711" w:customStyle="1">
    <w:name w:val="Заголовок 2 Знак"/>
    <w:link w:val="681"/>
    <w:uiPriority w:val="9"/>
    <w:rPr>
      <w:rFonts w:ascii="Arial" w:hAnsi="Arial" w:eastAsia="Arial" w:cs="Arial"/>
      <w:sz w:val="34"/>
    </w:rPr>
  </w:style>
  <w:style w:type="character" w:styleId="712" w:customStyle="1">
    <w:name w:val="Заголовок 3 Знак"/>
    <w:link w:val="682"/>
    <w:uiPriority w:val="9"/>
    <w:rPr>
      <w:rFonts w:ascii="Arial" w:hAnsi="Arial" w:eastAsia="Arial" w:cs="Arial"/>
      <w:sz w:val="30"/>
      <w:szCs w:val="30"/>
    </w:rPr>
  </w:style>
  <w:style w:type="character" w:styleId="713" w:customStyle="1">
    <w:name w:val="Заголовок 4 Знак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714" w:customStyle="1">
    <w:name w:val="Заголовок 5 Знак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715" w:customStyle="1">
    <w:name w:val="Заголовок 6 Знак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716" w:customStyle="1">
    <w:name w:val="Заголовок 7 Знак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7" w:customStyle="1">
    <w:name w:val="Заголовок 8 Знак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718" w:customStyle="1">
    <w:name w:val="Заголовок 9 Знак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719">
    <w:name w:val="List Paragraph"/>
    <w:basedOn w:val="679"/>
    <w:uiPriority w:val="34"/>
    <w:qFormat/>
    <w:pPr>
      <w:contextualSpacing/>
      <w:ind w:left="720"/>
    </w:pPr>
  </w:style>
  <w:style w:type="paragraph" w:styleId="720">
    <w:name w:val="No Spacing"/>
    <w:uiPriority w:val="1"/>
    <w:qFormat/>
  </w:style>
  <w:style w:type="paragraph" w:styleId="721">
    <w:name w:val="Title"/>
    <w:basedOn w:val="679"/>
    <w:next w:val="880"/>
    <w:link w:val="722"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character" w:styleId="722" w:customStyle="1">
    <w:name w:val="Заголовок Знак"/>
    <w:link w:val="721"/>
    <w:uiPriority w:val="10"/>
    <w:rPr>
      <w:sz w:val="48"/>
      <w:szCs w:val="48"/>
    </w:rPr>
  </w:style>
  <w:style w:type="paragraph" w:styleId="723">
    <w:name w:val="Subtitle"/>
    <w:basedOn w:val="679"/>
    <w:next w:val="679"/>
    <w:link w:val="724"/>
    <w:uiPriority w:val="11"/>
    <w:qFormat/>
    <w:pPr>
      <w:spacing w:before="200" w:after="200"/>
    </w:pPr>
    <w:rPr>
      <w:sz w:val="24"/>
      <w:szCs w:val="24"/>
    </w:rPr>
  </w:style>
  <w:style w:type="character" w:styleId="724" w:customStyle="1">
    <w:name w:val="Подзаголовок Знак"/>
    <w:link w:val="723"/>
    <w:uiPriority w:val="11"/>
    <w:rPr>
      <w:sz w:val="24"/>
      <w:szCs w:val="24"/>
    </w:rPr>
  </w:style>
  <w:style w:type="paragraph" w:styleId="725">
    <w:name w:val="Quote"/>
    <w:basedOn w:val="679"/>
    <w:next w:val="679"/>
    <w:link w:val="726"/>
    <w:uiPriority w:val="29"/>
    <w:qFormat/>
    <w:pPr>
      <w:ind w:left="720" w:right="720"/>
    </w:pPr>
    <w:rPr>
      <w:i/>
    </w:rPr>
  </w:style>
  <w:style w:type="character" w:styleId="726" w:customStyle="1">
    <w:name w:val="Цитата 2 Знак"/>
    <w:link w:val="725"/>
    <w:uiPriority w:val="29"/>
    <w:rPr>
      <w:i/>
    </w:rPr>
  </w:style>
  <w:style w:type="paragraph" w:styleId="727">
    <w:name w:val="Intense Quote"/>
    <w:basedOn w:val="679"/>
    <w:next w:val="679"/>
    <w:link w:val="72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8" w:customStyle="1">
    <w:name w:val="Выделенная цитата Знак"/>
    <w:link w:val="727"/>
    <w:uiPriority w:val="30"/>
    <w:rPr>
      <w:i/>
    </w:rPr>
  </w:style>
  <w:style w:type="character" w:styleId="729" w:customStyle="1">
    <w:name w:val="Верхний колонтитул Знак1"/>
    <w:link w:val="949"/>
    <w:uiPriority w:val="99"/>
  </w:style>
  <w:style w:type="character" w:styleId="730" w:customStyle="1">
    <w:name w:val="Нижний колонтитул Знак1"/>
    <w:link w:val="950"/>
    <w:uiPriority w:val="99"/>
  </w:style>
  <w:style w:type="character" w:styleId="731" w:customStyle="1">
    <w:name w:val="Название объекта Знак"/>
    <w:link w:val="882"/>
    <w:uiPriority w:val="35"/>
    <w:rPr>
      <w:b/>
      <w:bCs/>
      <w:color w:val="4f81bd" w:themeColor="accent1"/>
      <w:sz w:val="18"/>
      <w:szCs w:val="18"/>
    </w:rPr>
  </w:style>
  <w:style w:type="table" w:styleId="732">
    <w:name w:val="Table Grid"/>
    <w:basedOn w:val="69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3" w:customStyle="1">
    <w:name w:val="Table Grid Light"/>
    <w:basedOn w:val="69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4">
    <w:name w:val="Plain Table 1"/>
    <w:basedOn w:val="69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>
    <w:name w:val="Plain Table 2"/>
    <w:basedOn w:val="69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3"/>
    <w:basedOn w:val="69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7">
    <w:name w:val="Plain Table 4"/>
    <w:basedOn w:val="69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Plain Table 5"/>
    <w:basedOn w:val="69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9">
    <w:name w:val="Grid Table 1 Light"/>
    <w:basedOn w:val="69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1"/>
    <w:basedOn w:val="69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2"/>
    <w:basedOn w:val="69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3"/>
    <w:basedOn w:val="69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4"/>
    <w:basedOn w:val="69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5"/>
    <w:basedOn w:val="69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6"/>
    <w:basedOn w:val="69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2"/>
    <w:basedOn w:val="69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1"/>
    <w:basedOn w:val="69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2"/>
    <w:basedOn w:val="69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3"/>
    <w:basedOn w:val="69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4"/>
    <w:basedOn w:val="69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5"/>
    <w:basedOn w:val="69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6"/>
    <w:basedOn w:val="69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"/>
    <w:basedOn w:val="69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1"/>
    <w:basedOn w:val="69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2"/>
    <w:basedOn w:val="69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3"/>
    <w:basedOn w:val="69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4"/>
    <w:basedOn w:val="69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5"/>
    <w:basedOn w:val="69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6"/>
    <w:basedOn w:val="69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4"/>
    <w:basedOn w:val="69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1" w:customStyle="1">
    <w:name w:val="Grid Table 4 - Accent 1"/>
    <w:basedOn w:val="69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2" w:customStyle="1">
    <w:name w:val="Grid Table 4 - Accent 2"/>
    <w:basedOn w:val="69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3" w:customStyle="1">
    <w:name w:val="Grid Table 4 - Accent 3"/>
    <w:basedOn w:val="69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4" w:customStyle="1">
    <w:name w:val="Grid Table 4 - Accent 4"/>
    <w:basedOn w:val="69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5" w:customStyle="1">
    <w:name w:val="Grid Table 4 - Accent 5"/>
    <w:basedOn w:val="69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6" w:customStyle="1">
    <w:name w:val="Grid Table 4 - Accent 6"/>
    <w:basedOn w:val="69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7">
    <w:name w:val="Grid Table 5 Dark"/>
    <w:basedOn w:val="6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- Accent 1"/>
    <w:basedOn w:val="6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2"/>
    <w:basedOn w:val="6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3"/>
    <w:basedOn w:val="6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- Accent 4"/>
    <w:basedOn w:val="6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 - Accent 5"/>
    <w:basedOn w:val="6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 - Accent 6"/>
    <w:basedOn w:val="6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4">
    <w:name w:val="Grid Table 6 Colorful"/>
    <w:basedOn w:val="69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5" w:customStyle="1">
    <w:name w:val="Grid Table 6 Colorful - Accent 1"/>
    <w:basedOn w:val="69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6" w:customStyle="1">
    <w:name w:val="Grid Table 6 Colorful - Accent 2"/>
    <w:basedOn w:val="69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7" w:customStyle="1">
    <w:name w:val="Grid Table 6 Colorful - Accent 3"/>
    <w:basedOn w:val="69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8" w:customStyle="1">
    <w:name w:val="Grid Table 6 Colorful - Accent 4"/>
    <w:basedOn w:val="69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9" w:customStyle="1">
    <w:name w:val="Grid Table 6 Colorful - Accent 5"/>
    <w:basedOn w:val="69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0" w:customStyle="1">
    <w:name w:val="Grid Table 6 Colorful - Accent 6"/>
    <w:basedOn w:val="69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1">
    <w:name w:val="Grid Table 7 Colorful"/>
    <w:basedOn w:val="69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1"/>
    <w:basedOn w:val="69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2"/>
    <w:basedOn w:val="69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3"/>
    <w:basedOn w:val="69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4"/>
    <w:basedOn w:val="69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5"/>
    <w:basedOn w:val="69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7 Colorful - Accent 6"/>
    <w:basedOn w:val="69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"/>
    <w:basedOn w:val="69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1"/>
    <w:basedOn w:val="69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2"/>
    <w:basedOn w:val="69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3"/>
    <w:basedOn w:val="69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4"/>
    <w:basedOn w:val="69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5"/>
    <w:basedOn w:val="69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6"/>
    <w:basedOn w:val="69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2"/>
    <w:basedOn w:val="69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1"/>
    <w:basedOn w:val="69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2"/>
    <w:basedOn w:val="69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3"/>
    <w:basedOn w:val="69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4"/>
    <w:basedOn w:val="69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5"/>
    <w:basedOn w:val="69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6"/>
    <w:basedOn w:val="69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2">
    <w:name w:val="List Table 3"/>
    <w:basedOn w:val="69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1"/>
    <w:basedOn w:val="69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2"/>
    <w:basedOn w:val="69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3"/>
    <w:basedOn w:val="69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4"/>
    <w:basedOn w:val="69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5"/>
    <w:basedOn w:val="69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6"/>
    <w:basedOn w:val="69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"/>
    <w:basedOn w:val="69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1"/>
    <w:basedOn w:val="69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2"/>
    <w:basedOn w:val="69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3"/>
    <w:basedOn w:val="69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4"/>
    <w:basedOn w:val="69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5"/>
    <w:basedOn w:val="69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6"/>
    <w:basedOn w:val="69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5 Dark"/>
    <w:basedOn w:val="69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1"/>
    <w:basedOn w:val="69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2"/>
    <w:basedOn w:val="69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3"/>
    <w:basedOn w:val="69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4"/>
    <w:basedOn w:val="69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5"/>
    <w:basedOn w:val="69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6"/>
    <w:basedOn w:val="69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>
    <w:name w:val="List Table 6 Colorful"/>
    <w:basedOn w:val="69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4" w:customStyle="1">
    <w:name w:val="List Table 6 Colorful - Accent 1"/>
    <w:basedOn w:val="69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5" w:customStyle="1">
    <w:name w:val="List Table 6 Colorful - Accent 2"/>
    <w:basedOn w:val="69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6" w:customStyle="1">
    <w:name w:val="List Table 6 Colorful - Accent 3"/>
    <w:basedOn w:val="69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7" w:customStyle="1">
    <w:name w:val="List Table 6 Colorful - Accent 4"/>
    <w:basedOn w:val="69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8" w:customStyle="1">
    <w:name w:val="List Table 6 Colorful - Accent 5"/>
    <w:basedOn w:val="69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9" w:customStyle="1">
    <w:name w:val="List Table 6 Colorful - Accent 6"/>
    <w:basedOn w:val="69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0">
    <w:name w:val="List Table 7 Colorful"/>
    <w:basedOn w:val="69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1"/>
    <w:basedOn w:val="69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2"/>
    <w:basedOn w:val="69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3"/>
    <w:basedOn w:val="69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4"/>
    <w:basedOn w:val="69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5"/>
    <w:basedOn w:val="69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7 Colorful - Accent 6"/>
    <w:basedOn w:val="69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ned - Accent"/>
    <w:basedOn w:val="69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8" w:customStyle="1">
    <w:name w:val="Lined - Accent 1"/>
    <w:basedOn w:val="69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9" w:customStyle="1">
    <w:name w:val="Lined - Accent 2"/>
    <w:basedOn w:val="69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0" w:customStyle="1">
    <w:name w:val="Lined - Accent 3"/>
    <w:basedOn w:val="69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1" w:customStyle="1">
    <w:name w:val="Lined - Accent 4"/>
    <w:basedOn w:val="69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2" w:customStyle="1">
    <w:name w:val="Lined - Accent 5"/>
    <w:basedOn w:val="69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3" w:customStyle="1">
    <w:name w:val="Lined - Accent 6"/>
    <w:basedOn w:val="69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4" w:customStyle="1">
    <w:name w:val="Bordered &amp; Lined - Accent"/>
    <w:basedOn w:val="69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5" w:customStyle="1">
    <w:name w:val="Bordered &amp; Lined - Accent 1"/>
    <w:basedOn w:val="690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6" w:customStyle="1">
    <w:name w:val="Bordered &amp; Lined - Accent 2"/>
    <w:basedOn w:val="690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7" w:customStyle="1">
    <w:name w:val="Bordered &amp; Lined - Accent 3"/>
    <w:basedOn w:val="690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8" w:customStyle="1">
    <w:name w:val="Bordered &amp; Lined - Accent 4"/>
    <w:basedOn w:val="690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9" w:customStyle="1">
    <w:name w:val="Bordered &amp; Lined - Accent 5"/>
    <w:basedOn w:val="690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0" w:customStyle="1">
    <w:name w:val="Bordered &amp; Lined - Accent 6"/>
    <w:basedOn w:val="690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1" w:customStyle="1">
    <w:name w:val="Bordered"/>
    <w:basedOn w:val="69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2" w:customStyle="1">
    <w:name w:val="Bordered - Accent 1"/>
    <w:basedOn w:val="69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3" w:customStyle="1">
    <w:name w:val="Bordered - Accent 2"/>
    <w:basedOn w:val="69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4" w:customStyle="1">
    <w:name w:val="Bordered - Accent 3"/>
    <w:basedOn w:val="69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5" w:customStyle="1">
    <w:name w:val="Bordered - Accent 4"/>
    <w:basedOn w:val="69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6" w:customStyle="1">
    <w:name w:val="Bordered - Accent 5"/>
    <w:basedOn w:val="69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7" w:customStyle="1">
    <w:name w:val="Bordered - Accent 6"/>
    <w:basedOn w:val="69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58">
    <w:name w:val="footnote text"/>
    <w:basedOn w:val="679"/>
    <w:link w:val="859"/>
    <w:uiPriority w:val="99"/>
    <w:semiHidden/>
    <w:unhideWhenUsed/>
    <w:pPr>
      <w:spacing w:after="40" w:line="240" w:lineRule="auto"/>
    </w:pPr>
    <w:rPr>
      <w:sz w:val="18"/>
    </w:rPr>
  </w:style>
  <w:style w:type="character" w:styleId="859" w:customStyle="1">
    <w:name w:val="Текст сноски Знак"/>
    <w:link w:val="858"/>
    <w:uiPriority w:val="99"/>
    <w:rPr>
      <w:sz w:val="18"/>
    </w:rPr>
  </w:style>
  <w:style w:type="character" w:styleId="860">
    <w:name w:val="footnote reference"/>
    <w:uiPriority w:val="99"/>
    <w:unhideWhenUsed/>
    <w:rPr>
      <w:vertAlign w:val="superscript"/>
    </w:rPr>
  </w:style>
  <w:style w:type="paragraph" w:styleId="861">
    <w:name w:val="endnote text"/>
    <w:basedOn w:val="679"/>
    <w:link w:val="862"/>
    <w:uiPriority w:val="99"/>
    <w:semiHidden/>
    <w:unhideWhenUsed/>
    <w:pPr>
      <w:spacing w:after="0" w:line="240" w:lineRule="auto"/>
    </w:pPr>
    <w:rPr>
      <w:sz w:val="20"/>
    </w:rPr>
  </w:style>
  <w:style w:type="character" w:styleId="862" w:customStyle="1">
    <w:name w:val="Текст концевой сноски Знак"/>
    <w:link w:val="861"/>
    <w:uiPriority w:val="99"/>
    <w:rPr>
      <w:sz w:val="20"/>
    </w:rPr>
  </w:style>
  <w:style w:type="character" w:styleId="863">
    <w:name w:val="endnote reference"/>
    <w:uiPriority w:val="99"/>
    <w:semiHidden/>
    <w:unhideWhenUsed/>
    <w:rPr>
      <w:vertAlign w:val="superscript"/>
    </w:rPr>
  </w:style>
  <w:style w:type="paragraph" w:styleId="864">
    <w:name w:val="toc 1"/>
    <w:basedOn w:val="679"/>
    <w:next w:val="679"/>
    <w:uiPriority w:val="39"/>
    <w:unhideWhenUsed/>
    <w:pPr>
      <w:spacing w:after="57"/>
    </w:pPr>
  </w:style>
  <w:style w:type="paragraph" w:styleId="865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66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67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68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69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70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71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72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73">
    <w:name w:val="TOC Heading"/>
    <w:uiPriority w:val="39"/>
    <w:unhideWhenUsed/>
  </w:style>
  <w:style w:type="paragraph" w:styleId="874">
    <w:name w:val="table of figures"/>
    <w:basedOn w:val="679"/>
    <w:next w:val="679"/>
    <w:uiPriority w:val="99"/>
    <w:unhideWhenUsed/>
    <w:pPr>
      <w:spacing w:after="0"/>
    </w:pPr>
  </w:style>
  <w:style w:type="character" w:styleId="875">
    <w:name w:val="Hyperlink"/>
    <w:rPr>
      <w:color w:val="0000ff"/>
      <w:u w:val="single"/>
    </w:rPr>
  </w:style>
  <w:style w:type="character" w:styleId="876">
    <w:name w:val="FollowedHyperlink"/>
    <w:rPr>
      <w:color w:val="800080"/>
      <w:u w:val="single"/>
    </w:rPr>
  </w:style>
  <w:style w:type="character" w:styleId="877" w:customStyle="1">
    <w:name w:val="Верхний колонтитул Знак"/>
    <w:rPr>
      <w:sz w:val="22"/>
      <w:szCs w:val="22"/>
    </w:rPr>
  </w:style>
  <w:style w:type="character" w:styleId="878" w:customStyle="1">
    <w:name w:val="Нижний колонтитул Знак"/>
    <w:rPr>
      <w:sz w:val="22"/>
      <w:szCs w:val="22"/>
    </w:rPr>
  </w:style>
  <w:style w:type="character" w:styleId="879" w:customStyle="1">
    <w:name w:val="Текст выноски Знак"/>
    <w:rPr>
      <w:rFonts w:ascii="Segoe UI" w:hAnsi="Segoe UI" w:cs="Segoe UI"/>
      <w:sz w:val="18"/>
      <w:szCs w:val="18"/>
    </w:rPr>
  </w:style>
  <w:style w:type="paragraph" w:styleId="880">
    <w:name w:val="Body Text"/>
    <w:basedOn w:val="679"/>
    <w:pPr>
      <w:spacing w:after="140" w:line="276" w:lineRule="auto"/>
    </w:pPr>
  </w:style>
  <w:style w:type="paragraph" w:styleId="881">
    <w:name w:val="List"/>
    <w:basedOn w:val="880"/>
    <w:rPr>
      <w:rFonts w:ascii="PT Astra Serif" w:hAnsi="PT Astra Serif" w:cs="Noto Sans Devanagari"/>
    </w:rPr>
  </w:style>
  <w:style w:type="paragraph" w:styleId="882">
    <w:name w:val="Caption"/>
    <w:basedOn w:val="679"/>
    <w:link w:val="731"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883">
    <w:name w:val="index heading"/>
    <w:basedOn w:val="679"/>
    <w:pPr>
      <w:suppressLineNumbers/>
    </w:pPr>
    <w:rPr>
      <w:rFonts w:ascii="PT Astra Serif" w:hAnsi="PT Astra Serif" w:cs="Noto Sans Devanagari"/>
    </w:rPr>
  </w:style>
  <w:style w:type="paragraph" w:styleId="884" w:customStyle="1">
    <w:name w:val="msonormal"/>
    <w:basedOn w:val="679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85" w:customStyle="1">
    <w:name w:val="xl65"/>
    <w:basedOn w:val="679"/>
    <w:pPr>
      <w:spacing w:before="280" w:after="280" w:line="240" w:lineRule="auto"/>
    </w:pPr>
    <w:rPr>
      <w:rFonts w:ascii="Times New Roman" w:hAnsi="Times New Roman" w:eastAsia="Times New Roman"/>
      <w:color w:val="ff0000"/>
      <w:sz w:val="24"/>
      <w:szCs w:val="24"/>
    </w:rPr>
  </w:style>
  <w:style w:type="paragraph" w:styleId="886" w:customStyle="1">
    <w:name w:val="xl66"/>
    <w:basedOn w:val="679"/>
    <w:pPr>
      <w:spacing w:before="280" w:after="280" w:line="240" w:lineRule="auto"/>
    </w:pPr>
    <w:rPr>
      <w:rFonts w:ascii="Times New Roman" w:hAnsi="Times New Roman" w:eastAsia="Times New Roman"/>
      <w:b/>
      <w:bCs/>
      <w:color w:val="ff0000"/>
      <w:sz w:val="24"/>
      <w:szCs w:val="24"/>
    </w:rPr>
  </w:style>
  <w:style w:type="paragraph" w:styleId="887" w:customStyle="1">
    <w:name w:val="xl67"/>
    <w:basedOn w:val="679"/>
    <w:pPr>
      <w:spacing w:before="280" w:after="280" w:line="240" w:lineRule="auto"/>
    </w:pPr>
    <w:rPr>
      <w:rFonts w:ascii="Times New Roman" w:hAnsi="Times New Roman" w:eastAsia="Times New Roman"/>
      <w:color w:val="ff0000"/>
      <w:sz w:val="24"/>
      <w:szCs w:val="24"/>
    </w:rPr>
  </w:style>
  <w:style w:type="paragraph" w:styleId="888" w:customStyle="1">
    <w:name w:val="xl68"/>
    <w:basedOn w:val="679"/>
    <w:pPr>
      <w:spacing w:before="280" w:after="280" w:line="240" w:lineRule="auto"/>
    </w:pPr>
    <w:rPr>
      <w:rFonts w:ascii="Times New Roman" w:hAnsi="Times New Roman" w:eastAsia="Times New Roman"/>
      <w:b/>
      <w:bCs/>
      <w:color w:val="ff0000"/>
      <w:sz w:val="24"/>
      <w:szCs w:val="24"/>
    </w:rPr>
  </w:style>
  <w:style w:type="paragraph" w:styleId="889" w:customStyle="1">
    <w:name w:val="xl69"/>
    <w:basedOn w:val="679"/>
    <w:pPr>
      <w:spacing w:before="280" w:after="280" w:line="240" w:lineRule="auto"/>
    </w:pPr>
    <w:rPr>
      <w:rFonts w:ascii="Times New Roman" w:hAnsi="Times New Roman" w:eastAsia="Times New Roman"/>
      <w:b/>
      <w:bCs/>
      <w:color w:val="ff0000"/>
      <w:sz w:val="24"/>
      <w:szCs w:val="24"/>
    </w:rPr>
  </w:style>
  <w:style w:type="paragraph" w:styleId="890" w:customStyle="1">
    <w:name w:val="xl70"/>
    <w:basedOn w:val="679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</w:rPr>
  </w:style>
  <w:style w:type="paragraph" w:styleId="891" w:customStyle="1">
    <w:name w:val="xl71"/>
    <w:basedOn w:val="679"/>
    <w:pPr>
      <w:jc w:val="both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</w:rPr>
  </w:style>
  <w:style w:type="paragraph" w:styleId="892" w:customStyle="1">
    <w:name w:val="xl72"/>
    <w:basedOn w:val="679"/>
    <w:pPr>
      <w:spacing w:before="280" w:after="280" w:line="240" w:lineRule="auto"/>
    </w:pPr>
    <w:rPr>
      <w:rFonts w:ascii="Times New Roman" w:hAnsi="Times New Roman" w:eastAsia="Times New Roman"/>
      <w:b/>
      <w:bCs/>
      <w:color w:val="ff0000"/>
      <w:sz w:val="28"/>
      <w:szCs w:val="28"/>
    </w:rPr>
  </w:style>
  <w:style w:type="paragraph" w:styleId="893" w:customStyle="1">
    <w:name w:val="xl73"/>
    <w:basedOn w:val="679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94" w:customStyle="1">
    <w:name w:val="xl74"/>
    <w:basedOn w:val="679"/>
    <w:pPr>
      <w:spacing w:before="280" w:after="280" w:line="240" w:lineRule="auto"/>
    </w:pPr>
    <w:rPr>
      <w:rFonts w:ascii="Times New Roman" w:hAnsi="Times New Roman" w:eastAsia="Times New Roman"/>
      <w:sz w:val="28"/>
      <w:szCs w:val="28"/>
    </w:rPr>
  </w:style>
  <w:style w:type="paragraph" w:styleId="895" w:customStyle="1">
    <w:name w:val="xl75"/>
    <w:basedOn w:val="679"/>
    <w:pPr>
      <w:spacing w:before="280" w:after="280" w:line="240" w:lineRule="auto"/>
    </w:pPr>
    <w:rPr>
      <w:rFonts w:ascii="Times New Roman" w:hAnsi="Times New Roman" w:eastAsia="Times New Roman"/>
      <w:sz w:val="28"/>
      <w:szCs w:val="28"/>
    </w:rPr>
  </w:style>
  <w:style w:type="paragraph" w:styleId="896" w:customStyle="1">
    <w:name w:val="xl76"/>
    <w:basedOn w:val="679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97" w:customStyle="1">
    <w:name w:val="xl77"/>
    <w:basedOn w:val="679"/>
    <w:pPr>
      <w:spacing w:before="280" w:after="280" w:line="240" w:lineRule="auto"/>
    </w:pPr>
    <w:rPr>
      <w:rFonts w:ascii="Times New Roman" w:hAnsi="Times New Roman" w:eastAsia="Times New Roman"/>
      <w:sz w:val="28"/>
      <w:szCs w:val="28"/>
    </w:rPr>
  </w:style>
  <w:style w:type="paragraph" w:styleId="898" w:customStyle="1">
    <w:name w:val="xl78"/>
    <w:basedOn w:val="679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99" w:customStyle="1">
    <w:name w:val="xl79"/>
    <w:basedOn w:val="679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900" w:customStyle="1">
    <w:name w:val="xl80"/>
    <w:basedOn w:val="679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901" w:customStyle="1">
    <w:name w:val="xl81"/>
    <w:basedOn w:val="679"/>
    <w:pPr>
      <w:jc w:val="center"/>
      <w:spacing w:before="280" w:after="280" w:line="240" w:lineRule="auto"/>
    </w:pPr>
    <w:rPr>
      <w:rFonts w:ascii="Times New Roman" w:hAnsi="Times New Roman" w:eastAsia="Times New Roman"/>
      <w:b/>
      <w:bCs/>
      <w:sz w:val="28"/>
      <w:szCs w:val="28"/>
    </w:rPr>
  </w:style>
  <w:style w:type="paragraph" w:styleId="902" w:customStyle="1">
    <w:name w:val="xl82"/>
    <w:basedOn w:val="679"/>
    <w:pPr>
      <w:jc w:val="center"/>
      <w:spacing w:before="280" w:after="280" w:line="240" w:lineRule="auto"/>
    </w:pPr>
    <w:rPr>
      <w:rFonts w:ascii="Times New Roman" w:hAnsi="Times New Roman" w:eastAsia="Times New Roman"/>
      <w:b/>
      <w:bCs/>
      <w:sz w:val="28"/>
      <w:szCs w:val="28"/>
    </w:rPr>
  </w:style>
  <w:style w:type="paragraph" w:styleId="903" w:customStyle="1">
    <w:name w:val="xl83"/>
    <w:basedOn w:val="679"/>
    <w:pPr>
      <w:spacing w:before="280" w:after="280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styleId="904" w:customStyle="1">
    <w:name w:val="xl84"/>
    <w:basedOn w:val="679"/>
    <w:pPr>
      <w:jc w:val="center"/>
      <w:spacing w:before="280" w:after="280" w:line="240" w:lineRule="auto"/>
    </w:pPr>
    <w:rPr>
      <w:rFonts w:ascii="Times New Roman" w:hAnsi="Times New Roman" w:eastAsia="Times New Roman"/>
      <w:b/>
      <w:bCs/>
      <w:sz w:val="28"/>
      <w:szCs w:val="28"/>
    </w:rPr>
  </w:style>
  <w:style w:type="paragraph" w:styleId="905" w:customStyle="1">
    <w:name w:val="xl85"/>
    <w:basedOn w:val="679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906" w:customStyle="1">
    <w:name w:val="xl86"/>
    <w:basedOn w:val="679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907" w:customStyle="1">
    <w:name w:val="xl87"/>
    <w:basedOn w:val="679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</w:rPr>
  </w:style>
  <w:style w:type="paragraph" w:styleId="908" w:customStyle="1">
    <w:name w:val="xl88"/>
    <w:basedOn w:val="679"/>
    <w:pPr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09" w:customStyle="1">
    <w:name w:val="xl89"/>
    <w:basedOn w:val="679"/>
    <w:pPr>
      <w:spacing w:before="280" w:after="280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styleId="910" w:customStyle="1">
    <w:name w:val="xl90"/>
    <w:basedOn w:val="679"/>
    <w:pPr>
      <w:spacing w:before="280" w:after="280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styleId="911" w:customStyle="1">
    <w:name w:val="xl91"/>
    <w:basedOn w:val="679"/>
    <w:pPr>
      <w:spacing w:before="280" w:after="280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styleId="912" w:customStyle="1">
    <w:name w:val="xl92"/>
    <w:basedOn w:val="679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13" w:customStyle="1">
    <w:name w:val="xl93"/>
    <w:basedOn w:val="679"/>
    <w:pPr>
      <w:jc w:val="both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14" w:customStyle="1">
    <w:name w:val="xl94"/>
    <w:basedOn w:val="679"/>
    <w:pPr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15" w:customStyle="1">
    <w:name w:val="xl95"/>
    <w:basedOn w:val="679"/>
    <w:pPr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16" w:customStyle="1">
    <w:name w:val="xl96"/>
    <w:basedOn w:val="679"/>
    <w:pPr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17" w:customStyle="1">
    <w:name w:val="xl97"/>
    <w:basedOn w:val="679"/>
    <w:pPr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18" w:customStyle="1">
    <w:name w:val="xl98"/>
    <w:basedOn w:val="679"/>
    <w:pPr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19" w:customStyle="1">
    <w:name w:val="xl99"/>
    <w:basedOn w:val="679"/>
    <w:pPr>
      <w:spacing w:before="280" w:after="280" w:line="240" w:lineRule="auto"/>
      <w:pBdr>
        <w:top w:val="single" w:color="000000" w:sz="4" w:space="0"/>
        <w:left w:val="single" w:color="000000" w:sz="4" w:space="0"/>
        <w:bottom w:val="none" w:color="000000" w:sz="0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20" w:customStyle="1">
    <w:name w:val="xl100"/>
    <w:basedOn w:val="679"/>
    <w:pPr>
      <w:spacing w:before="280" w:after="280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21" w:customStyle="1">
    <w:name w:val="xl101"/>
    <w:basedOn w:val="679"/>
    <w:pPr>
      <w:spacing w:before="280" w:after="280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22" w:customStyle="1">
    <w:name w:val="xl102"/>
    <w:basedOn w:val="679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23" w:customStyle="1">
    <w:name w:val="xl103"/>
    <w:basedOn w:val="679"/>
    <w:pPr>
      <w:jc w:val="both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24" w:customStyle="1">
    <w:name w:val="xl104"/>
    <w:basedOn w:val="679"/>
    <w:pPr>
      <w:jc w:val="center"/>
      <w:spacing w:before="280" w:after="280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25" w:customStyle="1">
    <w:name w:val="xl105"/>
    <w:basedOn w:val="679"/>
    <w:pPr>
      <w:jc w:val="both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26" w:customStyle="1">
    <w:name w:val="xl106"/>
    <w:basedOn w:val="679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27" w:customStyle="1">
    <w:name w:val="xl107"/>
    <w:basedOn w:val="679"/>
    <w:pPr>
      <w:jc w:val="both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28" w:customStyle="1">
    <w:name w:val="xl108"/>
    <w:basedOn w:val="679"/>
    <w:pPr>
      <w:jc w:val="both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29" w:customStyle="1">
    <w:name w:val="xl109"/>
    <w:basedOn w:val="679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30" w:customStyle="1">
    <w:name w:val="xl110"/>
    <w:basedOn w:val="679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31" w:customStyle="1">
    <w:name w:val="xl111"/>
    <w:basedOn w:val="679"/>
    <w:pPr>
      <w:jc w:val="both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32" w:customStyle="1">
    <w:name w:val="xl112"/>
    <w:basedOn w:val="679"/>
    <w:pPr>
      <w:jc w:val="both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33" w:customStyle="1">
    <w:name w:val="xl113"/>
    <w:basedOn w:val="679"/>
    <w:pPr>
      <w:jc w:val="both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34" w:customStyle="1">
    <w:name w:val="xl114"/>
    <w:basedOn w:val="679"/>
    <w:pPr>
      <w:jc w:val="both"/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935" w:customStyle="1">
    <w:name w:val="xl115"/>
    <w:basedOn w:val="679"/>
    <w:pPr>
      <w:spacing w:before="280" w:after="280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36" w:customStyle="1">
    <w:name w:val="xl116"/>
    <w:basedOn w:val="679"/>
    <w:pPr>
      <w:jc w:val="center"/>
      <w:spacing w:before="280" w:after="280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37" w:customStyle="1">
    <w:name w:val="xl117"/>
    <w:basedOn w:val="679"/>
    <w:pPr>
      <w:spacing w:before="280" w:after="280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38" w:customStyle="1">
    <w:name w:val="xl118"/>
    <w:basedOn w:val="679"/>
    <w:pPr>
      <w:jc w:val="center"/>
      <w:spacing w:before="280" w:after="280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39" w:customStyle="1">
    <w:name w:val="xl119"/>
    <w:basedOn w:val="679"/>
    <w:pPr>
      <w:jc w:val="center"/>
      <w:spacing w:before="280" w:after="280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40" w:customStyle="1">
    <w:name w:val="xl120"/>
    <w:basedOn w:val="679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941" w:customStyle="1">
    <w:name w:val="xl121"/>
    <w:basedOn w:val="679"/>
    <w:pPr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42" w:customStyle="1">
    <w:name w:val="xl122"/>
    <w:basedOn w:val="679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943" w:customStyle="1">
    <w:name w:val="xl123"/>
    <w:basedOn w:val="679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</w:rPr>
  </w:style>
  <w:style w:type="paragraph" w:styleId="944" w:customStyle="1">
    <w:name w:val="xl124"/>
    <w:basedOn w:val="679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45" w:customStyle="1">
    <w:name w:val="xl125"/>
    <w:basedOn w:val="679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</w:rPr>
  </w:style>
  <w:style w:type="paragraph" w:styleId="946" w:customStyle="1">
    <w:name w:val="xl126"/>
    <w:basedOn w:val="679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47" w:customStyle="1">
    <w:name w:val="xl127"/>
    <w:basedOn w:val="679"/>
    <w:pPr>
      <w:spacing w:before="280" w:after="280" w:line="240" w:lineRule="auto"/>
    </w:pPr>
    <w:rPr>
      <w:rFonts w:ascii="Times New Roman" w:hAnsi="Times New Roman" w:eastAsia="Times New Roman"/>
      <w:sz w:val="28"/>
      <w:szCs w:val="28"/>
    </w:rPr>
  </w:style>
  <w:style w:type="paragraph" w:styleId="948" w:customStyle="1">
    <w:name w:val="Колонтитул"/>
    <w:basedOn w:val="679"/>
    <w:pPr>
      <w:tabs>
        <w:tab w:val="center" w:pos="4819" w:leader="none"/>
        <w:tab w:val="right" w:pos="9638" w:leader="none"/>
      </w:tabs>
      <w:suppressLineNumbers/>
    </w:pPr>
  </w:style>
  <w:style w:type="paragraph" w:styleId="949">
    <w:name w:val="Header"/>
    <w:basedOn w:val="679"/>
    <w:link w:val="729"/>
    <w:pPr>
      <w:tabs>
        <w:tab w:val="center" w:pos="4677" w:leader="none"/>
        <w:tab w:val="right" w:pos="9355" w:leader="none"/>
      </w:tabs>
    </w:pPr>
  </w:style>
  <w:style w:type="paragraph" w:styleId="950">
    <w:name w:val="Footer"/>
    <w:basedOn w:val="679"/>
    <w:link w:val="730"/>
    <w:pPr>
      <w:tabs>
        <w:tab w:val="center" w:pos="4677" w:leader="none"/>
        <w:tab w:val="right" w:pos="9355" w:leader="none"/>
      </w:tabs>
    </w:pPr>
  </w:style>
  <w:style w:type="paragraph" w:styleId="951">
    <w:name w:val="Balloon Text"/>
    <w:basedOn w:val="67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952" w:customStyle="1">
    <w:name w:val="Содержимое таблицы"/>
    <w:basedOn w:val="679"/>
    <w:pPr>
      <w:widowControl w:val="off"/>
      <w:suppressLineNumbers/>
    </w:pPr>
  </w:style>
  <w:style w:type="paragraph" w:styleId="953" w:customStyle="1">
    <w:name w:val="Заголовок таблицы"/>
    <w:basedOn w:val="952"/>
    <w:pPr>
      <w:jc w:val="center"/>
    </w:pPr>
    <w:rPr>
      <w:b/>
      <w:bCs/>
    </w:rPr>
  </w:style>
  <w:style w:type="paragraph" w:styleId="954" w:customStyle="1">
    <w:name w:val="ConsPlusNormal"/>
    <w:next w:val="901"/>
    <w:link w:val="881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Недодел</dc:creator>
  <cp:lastModifiedBy>yakovleva_ev</cp:lastModifiedBy>
  <cp:revision>39</cp:revision>
  <dcterms:created xsi:type="dcterms:W3CDTF">2023-10-17T01:26:00Z</dcterms:created>
  <dcterms:modified xsi:type="dcterms:W3CDTF">2026-03-20T06:01:25Z</dcterms:modified>
</cp:coreProperties>
</file>